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263862200236886220100101410015829244)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продлению лицензий используемого программного обеспечения </w:t>
      </w:r>
      <w:r>
        <w:rPr>
          <w:rFonts w:ascii="PT Astra Serif" w:hAnsi="PT Astra Serif"/>
          <w:color w:val="000099"/>
          <w:sz w:val="24"/>
        </w:rPr>
        <w:t>Kaspersky Endpoint Security</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2"/>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Cs w:val="24"/>
        </w:rPr>
        <w:t>бюджет города Югорска на 2026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2"/>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2"/>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2"/>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2"/>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2"/>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2"/>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2"/>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2"/>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2"/>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31.10.2026.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0323264371887008700.</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 xml:space="preserve">на оказание услуг по продлению лицензий используемого программного обеспечения </w:t>
      </w:r>
      <w:r>
        <w:rPr>
          <w:rFonts w:ascii="PT Astra Serif" w:hAnsi="PT Astra Serif"/>
          <w:color w:val="000099"/>
          <w:sz w:val="24"/>
        </w:rPr>
        <w:t>Kaspersky Endpoint Security</w:t>
      </w:r>
      <w:r>
        <w:rPr>
          <w:rFonts w:ascii="PT Astra Serif" w:hAnsi="PT Astra Serif"/>
          <w:color w:val="000099"/>
          <w:sz w:val="24"/>
          <w:szCs w:val="24"/>
        </w:rPr>
        <w:t>».</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2"/>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2"/>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23.12.2026.</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6"/>
        <w:gridCol w:w="4539"/>
      </w:tblGrid>
      <w:tr>
        <w:trPr/>
        <w:tc>
          <w:tcPr>
            <w:tcW w:w="5666"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39"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4" w:name="OLE_LINK10"/>
      <w:bookmarkStart w:id="5" w:name="OLE_LINK9"/>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услуг по продлению лицензий используемого программного обеспечения Kaspersky Endpoint Security.</w:t>
      </w:r>
    </w:p>
    <w:p>
      <w:pPr>
        <w:pStyle w:val="Normal"/>
        <w:ind w:firstLine="709"/>
        <w:jc w:val="both"/>
        <w:rPr>
          <w:rFonts w:ascii="PT Astra Serif" w:hAnsi="PT Astra Serif"/>
          <w:b/>
          <w:sz w:val="24"/>
          <w:szCs w:val="24"/>
        </w:rPr>
      </w:pPr>
      <w:r>
        <w:rPr>
          <w:rFonts w:ascii="PT Astra Serif" w:hAnsi="PT Astra Serif"/>
          <w:b/>
          <w:sz w:val="24"/>
          <w:szCs w:val="24"/>
        </w:rPr>
      </w:r>
      <w:bookmarkEnd w:id="4"/>
      <w:bookmarkEnd w:id="5"/>
    </w:p>
    <w:p>
      <w:pPr>
        <w:pStyle w:val="Normal"/>
        <w:widowControl w:val="false"/>
        <w:tabs>
          <w:tab w:val="clear" w:pos="708"/>
          <w:tab w:val="left" w:pos="709" w:leader="none"/>
        </w:tabs>
        <w:ind w:firstLine="709"/>
        <w:rPr>
          <w:rFonts w:ascii="PT Astra Serif" w:hAnsi="PT Astra Serif"/>
          <w:color w:val="00000A"/>
          <w:sz w:val="24"/>
        </w:rPr>
      </w:pPr>
      <w:r>
        <w:rPr>
          <w:rFonts w:ascii="PT Astra Serif" w:hAnsi="PT Astra Serif"/>
          <w:b/>
          <w:color w:val="00000A"/>
          <w:sz w:val="24"/>
        </w:rPr>
        <w:t>2.</w:t>
      </w:r>
      <w:r>
        <w:rPr>
          <w:rFonts w:ascii="PT Astra Serif" w:hAnsi="PT Astra Serif"/>
          <w:color w:val="00000A"/>
          <w:sz w:val="24"/>
        </w:rPr>
        <w:t xml:space="preserve"> </w:t>
      </w:r>
      <w:r>
        <w:rPr>
          <w:rFonts w:ascii="PT Astra Serif" w:hAnsi="PT Astra Serif"/>
          <w:b/>
          <w:color w:val="00000A"/>
          <w:sz w:val="24"/>
        </w:rPr>
        <w:t>Требования к предоставляемым услугам:</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2.2. Продление лицензий программного обеспечения включает:</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а) обновление программного обеспечения до актуальной версии;</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б) консультации по программному обеспечению и ответы на вопросы по электронной почте;</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в) консультации по телефонной линии;</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г) выявление и устранение проблем, возникающих при эксплуатации программного обеспечения;</w:t>
      </w:r>
    </w:p>
    <w:p>
      <w:pPr>
        <w:pStyle w:val="Normal"/>
        <w:widowControl w:val="false"/>
        <w:tabs>
          <w:tab w:val="clear" w:pos="708"/>
          <w:tab w:val="left" w:pos="709" w:leader="none"/>
        </w:tabs>
        <w:ind w:firstLine="709"/>
        <w:jc w:val="both"/>
        <w:rPr>
          <w:rFonts w:ascii="PT Astra Serif" w:hAnsi="PT Astra Serif"/>
          <w:color w:val="00000A"/>
          <w:sz w:val="24"/>
        </w:rPr>
      </w:pPr>
      <w:r>
        <w:rPr>
          <w:rFonts w:ascii="PT Astra Serif" w:hAnsi="PT Astra Serif"/>
          <w:color w:val="00000A"/>
          <w:sz w:val="24"/>
        </w:rPr>
        <w:t>д) работу с производителем программного обеспечения в случае невозможности решения проблем собственными силами.</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b/>
          <w:bCs/>
          <w:sz w:val="24"/>
          <w:szCs w:val="24"/>
        </w:rPr>
      </w:pPr>
      <w:r>
        <w:rPr>
          <w:rFonts w:ascii="PT Astra Serif" w:hAnsi="PT Astra Serif"/>
          <w:b/>
          <w:bCs/>
          <w:sz w:val="24"/>
          <w:szCs w:val="24"/>
        </w:rPr>
        <w:t>3. Перечень предоставляемых услуг (код ОКПД2 58.29.50.000):</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32"/>
        <w:gridCol w:w="3537"/>
        <w:gridCol w:w="5103"/>
        <w:gridCol w:w="1134"/>
      </w:tblGrid>
      <w:tr>
        <w:trPr/>
        <w:tc>
          <w:tcPr>
            <w:tcW w:w="432" w:type="dxa"/>
            <w:tcBorders>
              <w:top w:val="single" w:sz="4" w:space="0" w:color="000000"/>
              <w:start w:val="single" w:sz="4" w:space="0" w:color="000000"/>
              <w:bottom w:val="single" w:sz="4" w:space="0" w:color="000000"/>
            </w:tcBorders>
          </w:tcPr>
          <w:p>
            <w:pPr>
              <w:pStyle w:val="Normal"/>
              <w:jc w:val="center"/>
              <w:rPr>
                <w:rFonts w:ascii="PT Astra Serif" w:hAnsi="PT Astra Serif"/>
                <w:sz w:val="22"/>
                <w:szCs w:val="22"/>
                <w:lang w:eastAsia="ar-SA"/>
              </w:rPr>
            </w:pPr>
            <w:r>
              <w:rPr>
                <w:rFonts w:ascii="PT Astra Serif" w:hAnsi="PT Astra Serif"/>
                <w:sz w:val="22"/>
                <w:szCs w:val="22"/>
                <w:lang w:eastAsia="ar-SA"/>
              </w:rPr>
              <w:t xml:space="preserve">№ </w:t>
            </w:r>
            <w:r>
              <w:rPr>
                <w:rFonts w:ascii="PT Astra Serif" w:hAnsi="PT Astra Serif"/>
                <w:sz w:val="22"/>
                <w:szCs w:val="22"/>
                <w:lang w:eastAsia="ar-SA"/>
              </w:rPr>
              <w:t>п/п</w:t>
            </w:r>
          </w:p>
        </w:tc>
        <w:tc>
          <w:tcPr>
            <w:tcW w:w="353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2"/>
                <w:szCs w:val="22"/>
                <w:lang w:eastAsia="ar-SA"/>
              </w:rPr>
            </w:pPr>
            <w:r>
              <w:rPr>
                <w:rFonts w:ascii="PT Astra Serif" w:hAnsi="PT Astra Serif"/>
                <w:sz w:val="22"/>
                <w:szCs w:val="22"/>
                <w:lang w:eastAsia="ar-SA"/>
              </w:rPr>
              <w:t>Наименование услуг</w:t>
            </w:r>
          </w:p>
        </w:tc>
        <w:tc>
          <w:tcPr>
            <w:tcW w:w="510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2"/>
                <w:szCs w:val="22"/>
                <w:lang w:eastAsia="ar-SA"/>
              </w:rPr>
            </w:pPr>
            <w:r>
              <w:rPr>
                <w:rFonts w:ascii="PT Astra Serif" w:hAnsi="PT Astra Serif"/>
                <w:sz w:val="22"/>
                <w:szCs w:val="22"/>
                <w:lang w:eastAsia="ar-SA"/>
              </w:rPr>
              <w:t>Характеристика предоставляемых услуг</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2"/>
                <w:szCs w:val="22"/>
                <w:lang w:eastAsia="ar-SA"/>
              </w:rPr>
            </w:pPr>
            <w:r>
              <w:rPr>
                <w:rFonts w:ascii="PT Astra Serif" w:hAnsi="PT Astra Serif"/>
                <w:sz w:val="22"/>
                <w:szCs w:val="22"/>
                <w:lang w:eastAsia="ar-SA"/>
              </w:rPr>
              <w:t>Количество</w:t>
            </w:r>
          </w:p>
        </w:tc>
      </w:tr>
      <w:tr>
        <w:trPr>
          <w:trHeight w:val="787" w:hRule="atLeast"/>
        </w:trPr>
        <w:tc>
          <w:tcPr>
            <w:tcW w:w="43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2"/>
                <w:szCs w:val="22"/>
                <w:lang w:eastAsia="ar-SA"/>
              </w:rPr>
            </w:pPr>
            <w:r>
              <w:rPr>
                <w:rFonts w:ascii="PT Astra Serif" w:hAnsi="PT Astra Serif"/>
                <w:color w:val="000000"/>
                <w:sz w:val="22"/>
                <w:szCs w:val="22"/>
                <w:lang w:eastAsia="ar-SA"/>
              </w:rPr>
              <w:t>1</w:t>
            </w:r>
          </w:p>
        </w:tc>
        <w:tc>
          <w:tcPr>
            <w:tcW w:w="3537"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cs="Tahoma"/>
                <w:sz w:val="22"/>
                <w:szCs w:val="22"/>
              </w:rPr>
            </w:pPr>
            <w:r>
              <w:rPr>
                <w:rFonts w:ascii="PT Astra Serif" w:hAnsi="PT Astra Serif"/>
                <w:bCs/>
                <w:sz w:val="22"/>
                <w:szCs w:val="22"/>
              </w:rPr>
              <w:t>Услуги по предоставлению лицензий на право использовать компьютерное программное обеспечение</w:t>
            </w:r>
          </w:p>
        </w:tc>
        <w:tc>
          <w:tcPr>
            <w:tcW w:w="5103"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Arial" w:cs="Tahoma"/>
                <w:szCs w:val="22"/>
              </w:rPr>
            </w:pPr>
            <w:r>
              <w:rPr>
                <w:rFonts w:eastAsia="Arial" w:cs="Tahoma" w:ascii="PT Astra Serif" w:hAnsi="PT Astra Serif"/>
                <w:szCs w:val="22"/>
              </w:rPr>
              <w:t xml:space="preserve">Продление действующей лицензии Заказчика на антивирусное программное обеспечение Kaspersky Endpoint Security для бизнеса - Расширенный Russian Edition 250-499 </w:t>
            </w:r>
            <w:r>
              <w:rPr>
                <w:rFonts w:eastAsia="Arial" w:cs="Tahoma" w:ascii="PT Astra Serif" w:hAnsi="PT Astra Serif"/>
                <w:szCs w:val="22"/>
                <w:lang w:val="en-US"/>
              </w:rPr>
              <w:t>Node</w:t>
            </w:r>
            <w:r>
              <w:rPr>
                <w:rFonts w:eastAsia="Arial" w:cs="Tahoma" w:ascii="PT Astra Serif" w:hAnsi="PT Astra Serif"/>
                <w:szCs w:val="22"/>
              </w:rPr>
              <w:t xml:space="preserve"> 1 </w:t>
            </w:r>
            <w:r>
              <w:rPr>
                <w:rFonts w:eastAsia="Arial" w:cs="Tahoma" w:ascii="PT Astra Serif" w:hAnsi="PT Astra Serif"/>
                <w:szCs w:val="22"/>
                <w:lang w:val="en-US"/>
              </w:rPr>
              <w:t>year</w:t>
            </w:r>
            <w:r>
              <w:rPr>
                <w:rFonts w:eastAsia="Arial" w:cs="Tahoma" w:ascii="PT Astra Serif" w:hAnsi="PT Astra Serif"/>
                <w:szCs w:val="22"/>
              </w:rPr>
              <w:t>)</w:t>
            </w:r>
          </w:p>
          <w:p>
            <w:pPr>
              <w:pStyle w:val="Normal"/>
              <w:jc w:val="both"/>
              <w:rPr>
                <w:rFonts w:ascii="PT Astra Serif" w:hAnsi="PT Astra Serif"/>
                <w:szCs w:val="22"/>
              </w:rPr>
            </w:pPr>
            <w:r>
              <w:rPr>
                <w:rFonts w:eastAsia="Arial" w:cs="Tahoma" w:ascii="PT Astra Serif" w:hAnsi="PT Astra Serif"/>
                <w:szCs w:val="22"/>
              </w:rPr>
              <w:t>(лицензия № 1B08-250630-014458-533-619)</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Cs w:val="22"/>
              </w:rPr>
            </w:pPr>
            <w:r>
              <w:rPr>
                <w:rFonts w:eastAsia="Arial" w:cs="Tahoma" w:ascii="PT Astra Serif" w:hAnsi="PT Astra Serif"/>
                <w:szCs w:val="22"/>
              </w:rPr>
              <w:t>330 штук</w:t>
            </w:r>
          </w:p>
        </w:tc>
      </w:tr>
    </w:tbl>
    <w:p>
      <w:pPr>
        <w:pStyle w:val="Normal"/>
        <w:ind w:firstLine="709"/>
        <w:jc w:val="both"/>
        <w:rPr>
          <w:rFonts w:ascii="PT Astra Serif" w:hAnsi="PT Astra Serif"/>
          <w:sz w:val="24"/>
          <w:szCs w:val="24"/>
        </w:rPr>
      </w:pPr>
      <w:r>
        <w:rPr>
          <w:rFonts w:ascii="PT Astra Serif" w:hAnsi="PT Astra Serif"/>
          <w:color w:val="000000"/>
          <w:sz w:val="24"/>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продлению лицензий используемого программного обеспечения Kaspersky Endpoint Security.</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6"/>
        <w:gridCol w:w="1134"/>
        <w:gridCol w:w="967"/>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cs="Tahoma" w:ascii="PT Astra Serif" w:hAnsi="PT Astra Serif"/>
                <w:sz w:val="24"/>
                <w:szCs w:val="24"/>
              </w:rPr>
              <w:t>Услуги по предоставлению лицензий на право использовать компьютерное программное обеспечение (П</w:t>
            </w:r>
            <w:r>
              <w:rPr>
                <w:rFonts w:ascii="PT Astra Serif" w:hAnsi="PT Astra Serif"/>
                <w:sz w:val="24"/>
                <w:szCs w:val="24"/>
              </w:rPr>
              <w:t>родление лицензии Kaspersky Endpoint Security для бизнеса - Расширенный Russian Edition на 1 год с техподдержкой</w:t>
            </w:r>
            <w:r>
              <w:rPr>
                <w:rFonts w:cs="Tahoma" w:ascii="PT Astra Serif" w:hAnsi="PT Astra Serif"/>
                <w:sz w:val="24"/>
                <w:szCs w:val="24"/>
              </w:rPr>
              <w:t>) (код ОКПД2 58.29.50.000)</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330</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16</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Style9" w:customStyle="1">
    <w:name w:val="Символ сноски"/>
    <w:rPr>
      <w:vertAlign w:val="superscript"/>
    </w:rPr>
  </w:style>
  <w:style w:type="character" w:styleId="user" w:customStyle="1">
    <w:name w:val="Символ сноски (user)"/>
    <w:qForma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user2" w:customStyle="1">
    <w:name w:val="Ссылка указателя (user)"/>
    <w:qFormat/>
    <w:rPr/>
  </w:style>
  <w:style w:type="character" w:styleId="user3" w:customStyle="1">
    <w:name w:val="Символ нумерации (user)"/>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7"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28"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29" w:customStyle="1">
    <w:name w:val="Стиль текста документа Знак"/>
    <w:uiPriority w:val="99"/>
    <w:qFormat/>
    <w:rPr>
      <w:sz w:val="28"/>
      <w:szCs w:val="24"/>
    </w:rPr>
  </w:style>
  <w:style w:type="character" w:styleId="Style30"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1"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2" w:customStyle="1">
    <w:name w:val="Абзац Знак"/>
    <w:uiPriority w:val="99"/>
    <w:qFormat/>
    <w:rPr>
      <w:rFonts w:eastAsia="Arial"/>
      <w:bCs/>
      <w:color w:val="000000"/>
      <w:sz w:val="28"/>
      <w:szCs w:val="24"/>
    </w:rPr>
  </w:style>
  <w:style w:type="character" w:styleId="Style33"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4"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5"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6"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38"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2"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3"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4"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28"/>
    <w:qFormat/>
    <w:pPr>
      <w:spacing w:lineRule="exact" w:line="360" w:before="0" w:after="0"/>
      <w:ind w:firstLine="709"/>
    </w:pPr>
    <w:rPr>
      <w:color w:val="000000"/>
    </w:rPr>
  </w:style>
  <w:style w:type="paragraph" w:styleId="Style46"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7"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48" w:customStyle="1">
    <w:name w:val="Шапка таблицы"/>
    <w:basedOn w:val="128"/>
    <w:qFormat/>
    <w:pPr>
      <w:keepNext w:val="true"/>
      <w:spacing w:before="60" w:after="120"/>
    </w:pPr>
    <w:rPr>
      <w:b/>
      <w:color w:val="000000"/>
      <w:sz w:val="22"/>
    </w:rPr>
  </w:style>
  <w:style w:type="paragraph" w:styleId="user7" w:customStyle="1">
    <w:name w:val="Содержимое таблицы (user)"/>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user8" w:customStyle="1">
    <w:name w:val="Блочная цитата (user)"/>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49"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0"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1" w:customStyle="1">
    <w:name w:val="Текст_таблицы"/>
    <w:basedOn w:val="128"/>
    <w:qFormat/>
    <w:pPr>
      <w:spacing w:lineRule="auto" w:line="360" w:before="0" w:after="0"/>
    </w:pPr>
    <w:rPr>
      <w:rFonts w:ascii="Calibri" w:hAnsi="Calibri"/>
      <w:sz w:val="28"/>
      <w:szCs w:val="28"/>
    </w:rPr>
  </w:style>
  <w:style w:type="paragraph" w:styleId="Style52" w:customStyle="1">
    <w:name w:val="Текст документа"/>
    <w:basedOn w:val="Style49"/>
    <w:uiPriority w:val="99"/>
    <w:qFormat/>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4"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5"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6" w:customStyle="1">
    <w:name w:val="Абзац"/>
    <w:basedOn w:val="128"/>
    <w:uiPriority w:val="99"/>
    <w:qFormat/>
    <w:pPr>
      <w:spacing w:lineRule="auto" w:line="360" w:beforeAutospacing="1" w:afterAutospacing="1"/>
    </w:pPr>
    <w:rPr>
      <w:rFonts w:eastAsia="Arial"/>
      <w:bCs/>
      <w:color w:val="000000"/>
      <w:sz w:val="28"/>
    </w:rPr>
  </w:style>
  <w:style w:type="paragraph" w:styleId="Style57" w:customStyle="1">
    <w:name w:val="Спис"/>
    <w:basedOn w:val="Style56"/>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58"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59"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0" w:customStyle="1">
    <w:name w:val="А"/>
    <w:basedOn w:val="145"/>
    <w:qFormat/>
    <w:pPr>
      <w:ind w:hanging="0" w:start="0"/>
    </w:pPr>
    <w:rPr/>
  </w:style>
  <w:style w:type="paragraph" w:styleId="146" w:customStyle="1">
    <w:name w:val="А.1"/>
    <w:basedOn w:val="Style60"/>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1"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2" w:customStyle="1">
    <w:name w:val="Пункт"/>
    <w:basedOn w:val="Normal"/>
    <w:pPr>
      <w:widowControl w:val="false"/>
      <w:spacing w:before="180" w:after="120"/>
      <w:ind w:firstLine="709"/>
      <w:jc w:val="both"/>
    </w:pPr>
    <w:rPr>
      <w:sz w:val="24"/>
      <w:lang w:eastAsia="ar-SA"/>
    </w:rPr>
  </w:style>
  <w:style w:type="paragraph" w:styleId="user9" w:customStyle="1">
    <w:name w:val="Заголовок таблицы (user)"/>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Style63" w:default="1">
    <w:name w:val="Без списка"/>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LibreOffice/26.8.0.1$Windows_X86_64 LibreOffice_project/2577b8a8e9a5d3f37124fb86a89387e3807953a7</Application>
  <AppVersion>15.0000</AppVersion>
  <Pages>16</Pages>
  <Words>6243</Words>
  <Characters>44173</Characters>
  <CharactersWithSpaces>50237</CharactersWithSpaces>
  <Paragraphs>301</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2026-09-07T11:54:11Z</cp:lastPrinted>
  <dcterms:modified xsi:type="dcterms:W3CDTF">2026-09-09T10:10:17Z</dcterms:modified>
  <cp:revision>311</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